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INOVATOR LETA SPODNJE SAVINJSKE DOLINE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7. junija 2023, ob 11.00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Podjetje Bisol, Prebold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S. Avsenik: Na avtocesti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S. in V. Avsenik: Na golici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David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4. razred</w:t>
            </w:r>
            <w:r>
              <w:br/>
            </w:r>
            <w:r>
              <w:rPr>
                <w:sz w:val="24"/>
              </w:rPr>
              <w:t xml:space="preserve">Jakob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7. razred</w:t>
            </w:r>
            <w:r>
              <w:br/>
            </w: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7. razred</w:t>
            </w:r>
            <w:r>
              <w:br/>
            </w:r>
            <w:r>
              <w:rPr>
                <w:sz w:val="24"/>
              </w:rPr>
              <w:t xml:space="preserve">Max Mravljak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5. razred</w:t>
            </w:r>
            <w:r>
              <w:br/>
            </w:r>
            <w:r>
              <w:rPr>
                <w:sz w:val="24"/>
              </w:rPr>
              <w:t xml:space="preserve">Gal Hribernik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tuba, 8.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Jan Grčar, mag. prof.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mag.art. (RA) Edvard Rebernik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