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SVEČANA SEJA MESTNE SKUPNOSTI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29. septembra 2022, ob 19.00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Sting (prir. M. Dolenc): Fields of Gold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Komorni kitarski orkester</w:t>
            </w:r>
            <w:r>
              <w:br/>
            </w:r>
            <w:r>
              <w:rPr>
                <w:sz w:val="24"/>
              </w:rPr>
              <w:t xml:space="preserve">Julij Miklav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Nirvana (prir. M. Dolenc) : Nirvana Medley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Komorni kitarski orkester </w:t>
            </w:r>
            <w:r>
              <w:br/>
            </w:r>
            <w:r>
              <w:rPr>
                <w:sz w:val="24"/>
              </w:rPr>
              <w:t xml:space="preserve">Julij Miklav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The Rolling Stones (prir. M. Dolenc): Paint It Black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Komorni kitarski orkester </w:t>
            </w:r>
            <w:r>
              <w:br/>
            </w:r>
            <w:r>
              <w:rPr>
                <w:sz w:val="24"/>
              </w:rPr>
              <w:t xml:space="preserve">Julij Miklav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8.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Vesna Pobežin Roš,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Matic Dolenc, mag. akad. glas.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Anton Alatič, spec.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