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KONCERT "PREPLETENA MUZIKA"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torek, 20. januarja 2026, ob 19.00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Dvorana Doma II. slovenskega tabora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E. John/ arr. M. Sweeney: Circle of Life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J. Vinson: African Noel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J. Lennon &amp; P. McCartney/ arr. R. Longfield: Let It Be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C. Cabello/ arr. J. Vinson: Havana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Pihani orkester GŠ "Risto Savin" Žalec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R. Soutullo: Puenteareas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S. Verhelst: Heaven or Hell</w:t>
            </w:r>
            <w:r>
              <w:br/>
              <w:rPr>
                <w:sz w:val="24"/>
              </w:rPr>
              <w:t>    Angel s tango (solista Jaka Kranjc in Lovro Komar Kugler, mentor Miran Šumečnik)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J. Turina, prir. A. Reed: La procession du Rocio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J. Rodrigo: Adagio para orquesta de instrumentos de viento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A. Marquez, prir. O. Nickel: Conga del fuego nuevo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R. Talens: Dunia Piris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A. Piazzolla, prir. M. Etchegoncelay:  Libertango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Wind orkester Gimnazije Velenje in GŠ Velenje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Jan Grčar, mag. prof.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Rok Volk spec. prof. (2)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J. Grčar, mag.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